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AD" w:rsidRDefault="00594AF6">
      <w:pPr>
        <w:spacing w:after="0" w:line="360" w:lineRule="auto"/>
        <w:ind w:left="1701" w:right="854" w:firstLine="7936"/>
        <w:rPr>
          <w:rFonts w:ascii="Open Sans" w:eastAsia="Open Sans" w:hAnsi="Open Sans" w:cs="Open Sans"/>
          <w:b/>
          <w:i/>
          <w:color w:val="262626"/>
        </w:rPr>
      </w:pPr>
      <w:r>
        <w:rPr>
          <w:rFonts w:ascii="Open Sans" w:eastAsia="Open Sans" w:hAnsi="Open Sans" w:cs="Open Sans"/>
          <w:b/>
          <w:i/>
          <w:color w:val="262626"/>
        </w:rPr>
        <w:t>07</w:t>
      </w:r>
      <w:bookmarkStart w:id="0" w:name="_GoBack"/>
      <w:bookmarkEnd w:id="0"/>
      <w:r w:rsidR="00E33707">
        <w:rPr>
          <w:rFonts w:ascii="Open Sans" w:eastAsia="Open Sans" w:hAnsi="Open Sans" w:cs="Open Sans"/>
          <w:b/>
          <w:i/>
          <w:color w:val="262626"/>
        </w:rPr>
        <w:t>/12</w:t>
      </w:r>
      <w:r w:rsidR="003B40EB">
        <w:rPr>
          <w:rFonts w:ascii="Open Sans" w:eastAsia="Open Sans" w:hAnsi="Open Sans" w:cs="Open Sans"/>
          <w:b/>
          <w:i/>
          <w:color w:val="262626"/>
        </w:rPr>
        <w:t>/2023</w:t>
      </w:r>
    </w:p>
    <w:p w:rsidR="00E33707" w:rsidRDefault="00E33707" w:rsidP="000471D6">
      <w:pPr>
        <w:spacing w:after="0"/>
        <w:ind w:left="1701" w:right="1701"/>
        <w:rPr>
          <w:rFonts w:asciiTheme="minorHAnsi" w:eastAsia="Open Sans" w:hAnsiTheme="minorHAnsi" w:cstheme="minorHAnsi"/>
          <w:b/>
          <w:color w:val="0A3299"/>
          <w:sz w:val="28"/>
          <w:szCs w:val="28"/>
        </w:rPr>
      </w:pPr>
    </w:p>
    <w:p w:rsidR="000471D6" w:rsidRPr="000471D6" w:rsidRDefault="000471D6" w:rsidP="000471D6">
      <w:pPr>
        <w:spacing w:after="0"/>
        <w:ind w:left="1701" w:right="1701"/>
        <w:rPr>
          <w:rFonts w:asciiTheme="minorHAnsi" w:eastAsia="Open Sans" w:hAnsiTheme="minorHAnsi" w:cstheme="minorHAnsi"/>
          <w:b/>
          <w:color w:val="0A3299"/>
          <w:sz w:val="28"/>
          <w:szCs w:val="28"/>
        </w:rPr>
      </w:pPr>
      <w:r w:rsidRPr="000471D6">
        <w:rPr>
          <w:rFonts w:asciiTheme="minorHAnsi" w:eastAsia="Open Sans" w:hAnsiTheme="minorHAnsi" w:cstheme="minorHAnsi"/>
          <w:b/>
          <w:color w:val="0A3299"/>
          <w:sz w:val="28"/>
          <w:szCs w:val="28"/>
        </w:rPr>
        <w:t>Chamamento Público nº 01/2023/SMUL</w:t>
      </w:r>
    </w:p>
    <w:p w:rsidR="000471D6" w:rsidRPr="000471D6" w:rsidRDefault="000471D6" w:rsidP="000471D6">
      <w:pPr>
        <w:spacing w:after="0"/>
        <w:ind w:left="1701" w:right="1701"/>
        <w:rPr>
          <w:rFonts w:asciiTheme="minorHAnsi" w:eastAsia="Open Sans" w:hAnsiTheme="minorHAnsi" w:cstheme="minorHAnsi"/>
          <w:color w:val="0A3299"/>
          <w:sz w:val="28"/>
          <w:szCs w:val="28"/>
        </w:rPr>
      </w:pPr>
    </w:p>
    <w:p w:rsidR="000471D6" w:rsidRPr="00E33707" w:rsidRDefault="000471D6" w:rsidP="000471D6">
      <w:pPr>
        <w:spacing w:after="0"/>
        <w:ind w:left="1701" w:right="1701"/>
        <w:rPr>
          <w:rFonts w:asciiTheme="minorHAnsi" w:eastAsia="Open Sans" w:hAnsiTheme="minorHAnsi" w:cstheme="minorHAnsi"/>
          <w:sz w:val="26"/>
          <w:szCs w:val="26"/>
        </w:rPr>
      </w:pPr>
      <w:r w:rsidRPr="00E33707">
        <w:rPr>
          <w:rFonts w:asciiTheme="minorHAnsi" w:eastAsia="Open Sans" w:hAnsiTheme="minorHAnsi" w:cstheme="minorHAnsi"/>
          <w:sz w:val="26"/>
          <w:szCs w:val="26"/>
        </w:rPr>
        <w:t>Objetivo: Credenciamento de projetos que promovam intervenções de requalificação edilícia em imóveis localizados no Perímetro do Programa Requalifica Centro (“Área de Interesse do Chamamento Público”) ao recebimento de subvenção econômica.</w:t>
      </w:r>
    </w:p>
    <w:p w:rsidR="000471D6" w:rsidRDefault="000471D6" w:rsidP="00E33707">
      <w:pPr>
        <w:spacing w:after="0"/>
        <w:ind w:left="1700" w:right="1701"/>
        <w:rPr>
          <w:rFonts w:asciiTheme="minorHAnsi" w:eastAsia="Open Sans" w:hAnsiTheme="minorHAnsi" w:cstheme="minorHAnsi"/>
          <w:b/>
          <w:color w:val="0A3299"/>
          <w:sz w:val="26"/>
          <w:szCs w:val="26"/>
        </w:rPr>
      </w:pPr>
    </w:p>
    <w:p w:rsidR="008F5431" w:rsidRDefault="007372CE" w:rsidP="00E33707">
      <w:pPr>
        <w:spacing w:after="0"/>
        <w:ind w:left="1700" w:right="1701"/>
        <w:rPr>
          <w:rFonts w:asciiTheme="minorHAnsi" w:eastAsia="Open Sans" w:hAnsiTheme="minorHAnsi" w:cstheme="minorHAnsi"/>
          <w:b/>
          <w:sz w:val="26"/>
          <w:szCs w:val="26"/>
        </w:rPr>
      </w:pPr>
      <w:r w:rsidRPr="007372CE">
        <w:rPr>
          <w:rFonts w:asciiTheme="minorHAnsi" w:eastAsia="Open Sans" w:hAnsiTheme="minorHAnsi" w:cstheme="minorHAnsi"/>
          <w:b/>
          <w:sz w:val="26"/>
          <w:szCs w:val="26"/>
        </w:rPr>
        <w:t>Relação de INTERESSADOS que foram habilitados a participar do CHAMAMENTO PÚBLICO conforme VALIDAÇÃO da COMISSÃO ESPECIAL DE AVALIAÇÃO, organizados a partir da ordem em que realizaram a INSTRUÇÃO DA SOLICITAÇÃO, atendendo ao disposto no item 1.1.29 do EDITAL DE CHAMAMENTO PÚBLICO SMUL Nº 01/2023/SMUL.</w:t>
      </w:r>
    </w:p>
    <w:p w:rsidR="007372CE" w:rsidRDefault="007372CE" w:rsidP="00E33707">
      <w:pPr>
        <w:spacing w:after="0"/>
        <w:ind w:left="1700" w:right="1701"/>
        <w:rPr>
          <w:rFonts w:asciiTheme="minorHAnsi" w:eastAsia="Open Sans" w:hAnsiTheme="minorHAnsi" w:cstheme="minorHAnsi"/>
          <w:b/>
          <w:sz w:val="26"/>
          <w:szCs w:val="26"/>
        </w:rPr>
      </w:pPr>
    </w:p>
    <w:tbl>
      <w:tblPr>
        <w:tblpPr w:leftFromText="141" w:rightFromText="141" w:vertAnchor="text" w:horzAnchor="page" w:tblpX="1721" w:tblpY="110"/>
        <w:tblW w:w="6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9"/>
      </w:tblGrid>
      <w:tr w:rsidR="007372CE" w:rsidTr="007372CE">
        <w:trPr>
          <w:trHeight w:val="454"/>
        </w:trPr>
        <w:tc>
          <w:tcPr>
            <w:tcW w:w="6919" w:type="dxa"/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7372CE" w:rsidRPr="007372CE" w:rsidRDefault="007372CE" w:rsidP="007372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SM01 - Edifício Virginia SPE S/A</w:t>
            </w:r>
          </w:p>
        </w:tc>
      </w:tr>
      <w:tr w:rsidR="007372CE" w:rsidTr="007372CE">
        <w:trPr>
          <w:trHeight w:val="454"/>
        </w:trPr>
        <w:tc>
          <w:tcPr>
            <w:tcW w:w="6919" w:type="dxa"/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7372CE" w:rsidRPr="007372CE" w:rsidRDefault="007372CE" w:rsidP="007372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Somauma</w:t>
            </w:r>
            <w:proofErr w:type="spellEnd"/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I</w:t>
            </w:r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ncorporação e </w:t>
            </w:r>
            <w:r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D</w:t>
            </w:r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esenvolvimento </w:t>
            </w:r>
            <w:r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I</w:t>
            </w:r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mobiliário</w:t>
            </w:r>
          </w:p>
        </w:tc>
      </w:tr>
      <w:tr w:rsidR="007372CE" w:rsidTr="007372CE">
        <w:trPr>
          <w:trHeight w:val="454"/>
        </w:trPr>
        <w:tc>
          <w:tcPr>
            <w:tcW w:w="6919" w:type="dxa"/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7372CE" w:rsidRPr="007372CE" w:rsidRDefault="007372CE" w:rsidP="007372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MS 128</w:t>
            </w:r>
            <w:r w:rsidR="000D35F2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. Empreendimentos e Participações LTDA</w:t>
            </w:r>
          </w:p>
        </w:tc>
      </w:tr>
      <w:tr w:rsidR="007372CE" w:rsidTr="007372CE">
        <w:trPr>
          <w:trHeight w:val="454"/>
        </w:trPr>
        <w:tc>
          <w:tcPr>
            <w:tcW w:w="6919" w:type="dxa"/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7372CE" w:rsidRPr="000D35F2" w:rsidRDefault="007372CE" w:rsidP="007372CE">
            <w:pPr>
              <w:spacing w:after="0" w:line="240" w:lineRule="auto"/>
            </w:pPr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Central Capital</w:t>
            </w:r>
            <w:r w:rsidR="000D35F2">
              <w:t xml:space="preserve"> </w:t>
            </w:r>
            <w:r w:rsidR="000D35F2" w:rsidRPr="000D35F2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SPE II LTDA</w:t>
            </w:r>
          </w:p>
        </w:tc>
      </w:tr>
      <w:tr w:rsidR="007372CE" w:rsidTr="007372CE">
        <w:trPr>
          <w:trHeight w:val="454"/>
        </w:trPr>
        <w:tc>
          <w:tcPr>
            <w:tcW w:w="6919" w:type="dxa"/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7372CE" w:rsidRPr="007372CE" w:rsidRDefault="007372CE" w:rsidP="007372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Citas Libero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B</w:t>
            </w:r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adaro</w:t>
            </w:r>
            <w:proofErr w:type="spellEnd"/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 SPE LTDA</w:t>
            </w:r>
          </w:p>
        </w:tc>
      </w:tr>
      <w:tr w:rsidR="007372CE" w:rsidTr="007372CE">
        <w:trPr>
          <w:trHeight w:val="454"/>
        </w:trPr>
        <w:tc>
          <w:tcPr>
            <w:tcW w:w="6919" w:type="dxa"/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7372CE" w:rsidRPr="007372CE" w:rsidRDefault="007372CE" w:rsidP="007372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FII</w:t>
            </w:r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Jive</w:t>
            </w:r>
            <w:proofErr w:type="spellEnd"/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Properties</w:t>
            </w:r>
            <w:proofErr w:type="spellEnd"/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 I</w:t>
            </w:r>
            <w:r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II Fundo d</w:t>
            </w:r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e Investimento Imobiliário</w:t>
            </w:r>
          </w:p>
        </w:tc>
      </w:tr>
      <w:tr w:rsidR="007372CE" w:rsidTr="007372CE">
        <w:trPr>
          <w:trHeight w:val="454"/>
        </w:trPr>
        <w:tc>
          <w:tcPr>
            <w:tcW w:w="6919" w:type="dxa"/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7372CE" w:rsidRPr="007372CE" w:rsidRDefault="007372CE" w:rsidP="007372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Taquari Agro Comercial LTDA</w:t>
            </w:r>
          </w:p>
        </w:tc>
      </w:tr>
      <w:tr w:rsidR="007372CE" w:rsidTr="007372CE">
        <w:trPr>
          <w:trHeight w:val="454"/>
        </w:trPr>
        <w:tc>
          <w:tcPr>
            <w:tcW w:w="6919" w:type="dxa"/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7372CE" w:rsidRPr="007372CE" w:rsidRDefault="007372CE" w:rsidP="007372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LAF</w:t>
            </w:r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 Construtora</w:t>
            </w:r>
            <w:proofErr w:type="gramStart"/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 </w:t>
            </w:r>
            <w:r w:rsidR="000D35F2">
              <w:rPr>
                <w:rStyle w:val="TableNormal"/>
                <w:color w:val="000000"/>
                <w:bdr w:val="none" w:sz="0" w:space="0" w:color="auto" w:frame="1"/>
              </w:rPr>
              <w:t xml:space="preserve"> </w:t>
            </w:r>
            <w:proofErr w:type="gramEnd"/>
            <w:r w:rsidR="000D35F2">
              <w:rPr>
                <w:rStyle w:val="normaltextrun"/>
                <w:color w:val="000000"/>
                <w:bdr w:val="none" w:sz="0" w:space="0" w:color="auto" w:frame="1"/>
              </w:rPr>
              <w:t>LTDA</w:t>
            </w:r>
          </w:p>
        </w:tc>
      </w:tr>
      <w:tr w:rsidR="007372CE" w:rsidTr="007372CE">
        <w:trPr>
          <w:trHeight w:val="454"/>
        </w:trPr>
        <w:tc>
          <w:tcPr>
            <w:tcW w:w="6919" w:type="dxa"/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7372CE" w:rsidRPr="007372CE" w:rsidRDefault="007372CE" w:rsidP="000D35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Taurus</w:t>
            </w:r>
            <w:proofErr w:type="spellEnd"/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Empreend</w:t>
            </w:r>
            <w:proofErr w:type="spellEnd"/>
            <w:r w:rsidR="000D35F2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. </w:t>
            </w:r>
            <w:r w:rsidR="000D35F2">
              <w:t xml:space="preserve"> </w:t>
            </w:r>
            <w:r w:rsidR="000D35F2" w:rsidRPr="000D35F2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Comerciais Civis </w:t>
            </w:r>
            <w:r w:rsidR="000D35F2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e</w:t>
            </w:r>
            <w:r w:rsidR="000D35F2" w:rsidRPr="000D35F2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 Agrícolas LTDA</w:t>
            </w:r>
          </w:p>
        </w:tc>
      </w:tr>
      <w:tr w:rsidR="007372CE" w:rsidTr="007372CE">
        <w:trPr>
          <w:trHeight w:val="454"/>
        </w:trPr>
        <w:tc>
          <w:tcPr>
            <w:tcW w:w="6919" w:type="dxa"/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7372CE" w:rsidRPr="007372CE" w:rsidRDefault="007372CE" w:rsidP="000D35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Duque de Caxias 408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 </w:t>
            </w:r>
            <w:r w:rsidR="000D35F2" w:rsidRPr="000D35F2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 </w:t>
            </w:r>
            <w:proofErr w:type="gramEnd"/>
            <w:r w:rsidR="000D35F2" w:rsidRPr="000D35F2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LTDA</w:t>
            </w:r>
          </w:p>
        </w:tc>
      </w:tr>
      <w:tr w:rsidR="007372CE" w:rsidTr="007372CE">
        <w:trPr>
          <w:trHeight w:val="454"/>
        </w:trPr>
        <w:tc>
          <w:tcPr>
            <w:tcW w:w="6919" w:type="dxa"/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372CE" w:rsidRPr="007372CE" w:rsidRDefault="007372CE" w:rsidP="007372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Condomínio </w:t>
            </w:r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Ed</w:t>
            </w:r>
            <w:r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ifício</w:t>
            </w:r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Artin</w:t>
            </w:r>
            <w:proofErr w:type="spellEnd"/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72CE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</w:rPr>
              <w:t>Kalaigan</w:t>
            </w:r>
            <w:proofErr w:type="spellEnd"/>
          </w:p>
        </w:tc>
      </w:tr>
    </w:tbl>
    <w:p w:rsidR="007372CE" w:rsidRPr="00E655C3" w:rsidRDefault="007372CE" w:rsidP="00E33707">
      <w:pPr>
        <w:spacing w:after="0"/>
        <w:ind w:left="1700" w:right="1701"/>
        <w:rPr>
          <w:rFonts w:asciiTheme="minorHAnsi" w:eastAsia="Open Sans" w:hAnsiTheme="minorHAnsi" w:cstheme="minorHAnsi"/>
          <w:sz w:val="26"/>
          <w:szCs w:val="26"/>
        </w:rPr>
      </w:pPr>
    </w:p>
    <w:p w:rsidR="008155BE" w:rsidRPr="008155BE" w:rsidRDefault="008155BE" w:rsidP="007372CE">
      <w:pPr>
        <w:tabs>
          <w:tab w:val="left" w:pos="4830"/>
        </w:tabs>
        <w:spacing w:after="0"/>
        <w:ind w:left="1700" w:right="1701"/>
        <w:rPr>
          <w:rFonts w:asciiTheme="minorHAnsi" w:eastAsia="Open Sans" w:hAnsiTheme="minorHAnsi" w:cstheme="minorHAnsi"/>
          <w:sz w:val="26"/>
          <w:szCs w:val="26"/>
        </w:rPr>
      </w:pPr>
    </w:p>
    <w:sectPr w:rsidR="008155BE" w:rsidRPr="00815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0" w:bottom="1702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7E" w:rsidRDefault="007C277E">
      <w:pPr>
        <w:spacing w:after="0" w:line="240" w:lineRule="auto"/>
      </w:pPr>
      <w:r>
        <w:separator/>
      </w:r>
    </w:p>
  </w:endnote>
  <w:endnote w:type="continuationSeparator" w:id="0">
    <w:p w:rsidR="007C277E" w:rsidRDefault="007C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D" w:rsidRDefault="003B4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BF11BA6" wp14:editId="4BBEA072">
          <wp:extent cx="7585710" cy="898525"/>
          <wp:effectExtent l="0" t="0" r="0" b="0"/>
          <wp:docPr id="317" name="image2.jpg" descr="\\nas.prodam\Sel_comunicacao\Design\2021. SMUL\Identidade Visual\V2\Institucional\nota técnica\Nota técnica 02_rodap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nas.prodam\Sel_comunicacao\Design\2021. SMUL\Identidade Visual\V2\Institucional\nota técnica\Nota técnica 02_rodapé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5710" cy="898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6B1E19E4" wp14:editId="7CD42FEB">
          <wp:extent cx="7585710" cy="898525"/>
          <wp:effectExtent l="0" t="0" r="0" b="0"/>
          <wp:docPr id="320" name="image2.jpg" descr="\\nas.prodam\Sel_comunicacao\Design\2021. SMUL\Identidade Visual\V2\Institucional\nota técnica\Nota técnica 02_rodap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nas.prodam\Sel_comunicacao\Design\2021. SMUL\Identidade Visual\V2\Institucional\nota técnica\Nota técnica 02_rodapé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5710" cy="898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D" w:rsidRDefault="003B4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33F4061" wp14:editId="5C95CCBC">
          <wp:extent cx="7585710" cy="898525"/>
          <wp:effectExtent l="0" t="0" r="0" b="0"/>
          <wp:docPr id="319" name="image2.jpg" descr="C:\Users\d854498\Documents\2021. SMUL\Identidade Visual\Versão 02\Institucional\nota técnica\rodap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d854498\Documents\2021. SMUL\Identidade Visual\Versão 02\Institucional\nota técnica\rodapé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5710" cy="898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9DC401B" wp14:editId="119436A9">
              <wp:simplePos x="0" y="0"/>
              <wp:positionH relativeFrom="column">
                <wp:posOffset>965200</wp:posOffset>
              </wp:positionH>
              <wp:positionV relativeFrom="paragraph">
                <wp:posOffset>50800</wp:posOffset>
              </wp:positionV>
              <wp:extent cx="2393315" cy="1692157"/>
              <wp:effectExtent l="0" t="0" r="0" b="0"/>
              <wp:wrapNone/>
              <wp:docPr id="315" name="Retângulo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2157" cy="2393315"/>
                      </a:xfrm>
                      <a:prstGeom prst="rect">
                        <a:avLst/>
                      </a:prstGeom>
                      <a:noFill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50800</wp:posOffset>
              </wp:positionV>
              <wp:extent cx="2393315" cy="1692157"/>
              <wp:effectExtent b="0" l="0" r="0" t="0"/>
              <wp:wrapNone/>
              <wp:docPr id="3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3315" cy="16921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D" w:rsidRDefault="00E112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7E" w:rsidRDefault="007C277E">
      <w:pPr>
        <w:spacing w:after="0" w:line="240" w:lineRule="auto"/>
      </w:pPr>
      <w:r>
        <w:separator/>
      </w:r>
    </w:p>
  </w:footnote>
  <w:footnote w:type="continuationSeparator" w:id="0">
    <w:p w:rsidR="007C277E" w:rsidRDefault="007C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D" w:rsidRDefault="003B4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586633B" wp14:editId="3F99B2EA">
          <wp:extent cx="7585710" cy="1375410"/>
          <wp:effectExtent l="0" t="0" r="0" b="0"/>
          <wp:docPr id="318" name="image3.jpg" descr="\\nas.prodam\Sel_comunicacao\Design\2021. SMUL\Identidade Visual\V2\Institucional\nota técnica\Nota técnica 02_nota_cabeçalh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\\nas.prodam\Sel_comunicacao\Design\2021. SMUL\Identidade Visual\V2\Institucional\nota técnica\Nota técnica 02_nota_cabeçalh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5710" cy="1375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D" w:rsidRDefault="003B4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1907"/>
      </w:tabs>
      <w:spacing w:after="0" w:line="240" w:lineRule="auto"/>
      <w:rPr>
        <w:color w:val="000000"/>
      </w:rPr>
    </w:pPr>
    <w:bookmarkStart w:id="1" w:name="_heading=h.gjdgxs" w:colFirst="0" w:colLast="0"/>
    <w:bookmarkEnd w:id="1"/>
    <w:r>
      <w:rPr>
        <w:noProof/>
        <w:color w:val="000000"/>
      </w:rPr>
      <w:drawing>
        <wp:inline distT="0" distB="0" distL="0" distR="0" wp14:anchorId="067184D1" wp14:editId="4C00F62E">
          <wp:extent cx="7585710" cy="1372013"/>
          <wp:effectExtent l="0" t="0" r="0" b="0"/>
          <wp:docPr id="3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5710" cy="1372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D" w:rsidRDefault="00E112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366C"/>
    <w:multiLevelType w:val="multilevel"/>
    <w:tmpl w:val="39F243F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>
    <w:nsid w:val="6B944A50"/>
    <w:multiLevelType w:val="multilevel"/>
    <w:tmpl w:val="5530987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12AD"/>
    <w:rsid w:val="00007D5D"/>
    <w:rsid w:val="000471D6"/>
    <w:rsid w:val="00064559"/>
    <w:rsid w:val="000D35F2"/>
    <w:rsid w:val="00115BCC"/>
    <w:rsid w:val="002B0BB3"/>
    <w:rsid w:val="003B40EB"/>
    <w:rsid w:val="00594AF6"/>
    <w:rsid w:val="007372CE"/>
    <w:rsid w:val="007C277E"/>
    <w:rsid w:val="007D173F"/>
    <w:rsid w:val="008155BE"/>
    <w:rsid w:val="008E257D"/>
    <w:rsid w:val="008F5431"/>
    <w:rsid w:val="00BD2EB3"/>
    <w:rsid w:val="00C92FB9"/>
    <w:rsid w:val="00E03189"/>
    <w:rsid w:val="00E112AD"/>
    <w:rsid w:val="00E33707"/>
    <w:rsid w:val="00E6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C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AC7"/>
  </w:style>
  <w:style w:type="paragraph" w:styleId="Rodap">
    <w:name w:val="footer"/>
    <w:basedOn w:val="Normal"/>
    <w:link w:val="RodapChar"/>
    <w:uiPriority w:val="99"/>
    <w:unhideWhenUsed/>
    <w:rsid w:val="002C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AC7"/>
  </w:style>
  <w:style w:type="paragraph" w:styleId="Textodebalo">
    <w:name w:val="Balloon Text"/>
    <w:basedOn w:val="Normal"/>
    <w:link w:val="TextodebaloChar"/>
    <w:uiPriority w:val="99"/>
    <w:semiHidden/>
    <w:unhideWhenUsed/>
    <w:rsid w:val="002C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AC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B74F2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Fontepargpadro"/>
    <w:rsid w:val="000D3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C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AC7"/>
  </w:style>
  <w:style w:type="paragraph" w:styleId="Rodap">
    <w:name w:val="footer"/>
    <w:basedOn w:val="Normal"/>
    <w:link w:val="RodapChar"/>
    <w:uiPriority w:val="99"/>
    <w:unhideWhenUsed/>
    <w:rsid w:val="002C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AC7"/>
  </w:style>
  <w:style w:type="paragraph" w:styleId="Textodebalo">
    <w:name w:val="Balloon Text"/>
    <w:basedOn w:val="Normal"/>
    <w:link w:val="TextodebaloChar"/>
    <w:uiPriority w:val="99"/>
    <w:semiHidden/>
    <w:unhideWhenUsed/>
    <w:rsid w:val="002C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AC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B74F2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Fontepargpadro"/>
    <w:rsid w:val="000D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0Xmoh/+QUuFVSwX4uPW74jU2A==">CgMxLjAyCGguZ2pkZ3hzOAByITFOeko4MlNSTWxwbURlV1lLaHJoTWE1OUdrdmc0dktNaQ==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Heliana Lombardi Artigiani</dc:creator>
  <cp:lastModifiedBy>Heliana Lombardi Artigiani</cp:lastModifiedBy>
  <cp:revision>4</cp:revision>
  <dcterms:created xsi:type="dcterms:W3CDTF">2023-12-07T21:24:00Z</dcterms:created>
  <dcterms:modified xsi:type="dcterms:W3CDTF">2023-12-07T21:43:00Z</dcterms:modified>
</cp:coreProperties>
</file>